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南京中医药大学行政督查督办工作办法</w:t>
      </w:r>
    </w:p>
    <w:p>
      <w:pPr>
        <w:spacing w:line="56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（试行）</w:t>
      </w:r>
    </w:p>
    <w:p>
      <w:pPr>
        <w:spacing w:before="312" w:beforeLines="100" w:after="156" w:afterLines="50" w:line="560" w:lineRule="exact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第一章 总则</w:t>
      </w:r>
    </w:p>
    <w:p>
      <w:pPr>
        <w:pStyle w:val="8"/>
        <w:numPr>
          <w:ilvl w:val="0"/>
          <w:numId w:val="1"/>
        </w:numPr>
        <w:spacing w:line="560" w:lineRule="exact"/>
        <w:ind w:firstLine="641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为进一步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加强行政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督办工作，确保学校重大决策、重要工作部署及时、全面、准确地贯彻落实，务实高效推进高水平、有特色、国际化的一流中医药大学建设，结合学校工作实际</w:t>
      </w:r>
      <w:r>
        <w:rPr>
          <w:rFonts w:hint="eastAsia" w:cs="方正仿宋_GBK" w:asciiTheme="minorEastAsia" w:hAnsiTheme="minorEastAsia" w:eastAsia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制定本办法。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1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督查督办工作紧密围绕学校行政的中心工作进行，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遵循</w:t>
      </w: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lang w:bidi="zh-TW"/>
        </w:rPr>
        <w:t>“归口管理、权责明晰、重点突出、实事求是、注重时效、奖惩分明”的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原则，督促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、检查、考核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各单位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行政执行过程、结果及效能。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1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仿宋_GB2312" w:hAnsi="Verdana" w:eastAsia="仿宋_GB2312" w:cs="仿宋_GB2312"/>
          <w:color w:val="000000"/>
          <w:sz w:val="32"/>
          <w:szCs w:val="32"/>
          <w:shd w:val="clear" w:color="auto" w:fill="FFFFFF"/>
          <w:lang w:bidi="ar"/>
        </w:rPr>
        <w:t>学校成立行政督查督办办公室，办公室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是学校行政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系统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督查督办工作的责任部门，全面负责学校的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督查督办工作；</w:t>
      </w:r>
      <w:r>
        <w:rPr>
          <w:rFonts w:hint="eastAsia" w:ascii="仿宋_GB2312" w:hAnsi="Verdana" w:eastAsia="仿宋_GB2312" w:cs="仿宋_GB2312"/>
          <w:color w:val="000000"/>
          <w:sz w:val="32"/>
          <w:szCs w:val="32"/>
          <w:shd w:val="clear" w:color="auto" w:fill="FFFFFF"/>
          <w:lang w:bidi="ar"/>
        </w:rPr>
        <w:t>行政督查督办办公室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设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兼职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督查督办秘书，负责办理日常督查督办工作事宜。</w:t>
      </w:r>
    </w:p>
    <w:p>
      <w:pPr>
        <w:pStyle w:val="8"/>
        <w:spacing w:before="312" w:beforeLines="100" w:after="156" w:afterLines="50" w:line="560" w:lineRule="exact"/>
        <w:ind w:left="641" w:firstLine="0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  <w:t>第二章 工作范围和程序</w:t>
      </w:r>
    </w:p>
    <w:p>
      <w:pPr>
        <w:pStyle w:val="8"/>
        <w:spacing w:line="560" w:lineRule="exact"/>
        <w:ind w:firstLine="64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范围：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（一）上级重要文件精神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会议精神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重大决策或活动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（二）上级主管部门公文交办事项的贯彻落实情况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（三）学校行政年度工作要点、重要文件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重要规章制度的贯彻落实情况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（四）学校校长办公会、党政联席会议等重要会议精神、重要决定事项的贯彻落实情况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（五）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校领导批（交）办事项的贯彻落实情况；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（六）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信访事项及学校师生员工反映强烈热点、难点问题的督查督办情况；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七）其它需要督查督办的事项。</w:t>
      </w:r>
    </w:p>
    <w:p>
      <w:pPr>
        <w:pStyle w:val="8"/>
        <w:spacing w:line="560" w:lineRule="exact"/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程序：</w:t>
      </w:r>
    </w:p>
    <w:p>
      <w:pPr>
        <w:pStyle w:val="8"/>
        <w:tabs>
          <w:tab w:val="left" w:pos="1446"/>
        </w:tabs>
        <w:spacing w:line="560" w:lineRule="exact"/>
        <w:ind w:firstLine="64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bookmarkStart w:id="0" w:name="bookmark1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立项：行政督查督办办公室根据上级部署要求、学校有关会议决定、校领导批示或学校重点工作进行立项，其中重大或复杂事项，在提出初步拟办意见后，应征求有关方面的意见，并报学校主要领导或分管领导审定。督办项目立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填写《南京中医药大学行政督查单》（见附件），督查事项要明确承办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部门、协同部门及责任人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、工作内容、目标任务、办结期限，切实做到有部门承办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有专人落实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有结果反馈。</w:t>
      </w:r>
    </w:p>
    <w:p>
      <w:pPr>
        <w:pStyle w:val="8"/>
        <w:tabs>
          <w:tab w:val="left" w:pos="1446"/>
        </w:tabs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交办：根据校领导指示，行政督查督办办公室向承办单位发出督办通知, 根据实际情况通过网上办公系统、书面、电话通知或口头交办。做到任务量化、时效具体化、责任明确化。</w:t>
      </w:r>
    </w:p>
    <w:p>
      <w:pPr>
        <w:pStyle w:val="8"/>
        <w:tabs>
          <w:tab w:val="left" w:pos="1446"/>
        </w:tabs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催办（查办）</w:t>
      </w:r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：承办单位收到《南京中医药大学行政督查单》后，工作已经完成的，应于3个工作日内按督查要求书面汇报工作落实情况。工作未完成的，有明确办结期限的，按规定期限办理；无明确办结期限的，反馈回复期限一般为10个工作日。对于办结周期较长的督查事项，承办单位应按工作计划反馈工作进展。对督查事项需延期或取消的，必须提交书面说明材料，并经分管校领导同意后，报校长办公会或校领导审批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（四）办理结果上报、审核。承办单位于督查事项办结后填报办理结果，行政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对承办单位提交的办理结果进行审核。凡列入督查的事项，都应当有明确的督查结论。反馈办理结果应简明扼要，一事一报，既要总结成绩和经验，又要反映问题和不足。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（五）结果反馈。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行政督查督办办公室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将督查事项办理结果向上级部门或有关领导汇报。根据工作需要，由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行政督查督办办公室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负责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行政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督查督办工作运行情况、工作质量和办理落实情况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定期或不定期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以《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南京中医药大学行政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督查督办工作简报》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等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形式在一定范围内予以通报。</w:t>
      </w:r>
    </w:p>
    <w:p>
      <w:pPr>
        <w:spacing w:line="560" w:lineRule="exact"/>
        <w:ind w:firstLine="57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（六）归档。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行政督查督办办公室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及时对督查督办事项进行资料归档，供校领导查阅及年度绩效考核参考。</w:t>
      </w:r>
    </w:p>
    <w:p>
      <w:pPr>
        <w:pStyle w:val="8"/>
        <w:spacing w:before="312" w:beforeLines="100" w:after="156" w:afterLines="50" w:line="560" w:lineRule="exact"/>
        <w:ind w:firstLine="403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  <w:t>第三章 工作方式和要求</w:t>
      </w:r>
    </w:p>
    <w:p>
      <w:pPr>
        <w:pStyle w:val="8"/>
        <w:spacing w:line="560" w:lineRule="exact"/>
        <w:ind w:firstLine="600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工作方式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一）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口头提醒。督查日常事项一般采取电话、微信等方式进行口头提醒，每次提醒、询问、催办应作简要记录，以掌握督查事项进展情况。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现场督查。由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行政督查督办办公室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安排工作专员深入实地调研，了解情况，推动落实。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协调会商。对涉及多部门、需要综合协调的事项或特别重要的事项，由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承办单位负责人召开会议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，加强沟通交流、明确任务要求、研究制定措施、推动工作落实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，督查督办办公室可派人参加会议。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第七条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行政督查督办工作要求：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（一）实事求是、安全保密。行政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督查督办工作应本着实事求是的原则和一丝不苟的精神，深入调查研究，及时、准确、全面地了解和反馈有关情况，并对涉密事项严格保密。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（二）归口管理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、协同办理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各承办单位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行政负责人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督办工作第一责任人。督查督办过程中，督查督办人员要加强与被督查督办部门之间的沟通与联系。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明确时限、务求实效。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督办事项应有具体时限要求。承办单位要积极落实，并按规定时限办结。因特殊情况不能按时办结的，应说明理由，报请主管校领导决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定是否可以延期。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因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承办单位不严格履行职责,造成不良影响与后果的，按照有关规定进行严肃处理。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bidi="zh-TW"/>
        </w:rPr>
        <w:t>第八条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督查事项完成情况列入二级单位及中层干部年度考核内容，作为各单位及个人年终考核、评优评奖的重要依据。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bidi="zh-TW"/>
        </w:rPr>
        <w:t>九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 xml:space="preserve"> 对在督查工作中业绩突出的部门、单位和个人，学校以适当形式给予表彰奖励；对督查事项落实不力、经督查仍不能按时按要求完成，且情节严重、造成不良影响的，将追究有关单位和负责人责任。</w:t>
      </w:r>
    </w:p>
    <w:p>
      <w:pPr>
        <w:spacing w:before="312" w:beforeLines="100" w:after="156" w:afterLines="50" w:line="560" w:lineRule="exact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第四章 附则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第十条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本办法由校长办公室负责解释。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第十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bidi="zh-TW"/>
        </w:rPr>
        <w:t>一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 xml:space="preserve"> 本办法自印发之日起施行。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南京中医药大学行政督查单</w:t>
      </w:r>
    </w:p>
    <w:p>
      <w:pPr>
        <w:spacing w:before="156" w:beforeLines="50" w:after="156" w:afterLines="50" w:line="480" w:lineRule="exact"/>
        <w:jc w:val="center"/>
        <w:rPr>
          <w:rFonts w:ascii="微软雅黑" w:hAnsi="微软雅黑"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编号：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3402"/>
        <w:gridCol w:w="1417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督查立项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督查事项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办结期限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立项依据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承办单位</w:t>
            </w: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70"/>
                <w:kern w:val="0"/>
                <w:sz w:val="28"/>
                <w:szCs w:val="28"/>
                <w:fitText w:val="1120" w:id="1414815416"/>
              </w:rPr>
              <w:t>负责</w:t>
            </w:r>
            <w:r>
              <w:rPr>
                <w:rFonts w:hint="eastAsia" w:ascii="仿宋" w:hAnsi="仿宋" w:eastAsia="仿宋"/>
                <w:b/>
                <w:spacing w:val="0"/>
                <w:kern w:val="0"/>
                <w:sz w:val="28"/>
                <w:szCs w:val="28"/>
                <w:fitText w:val="1120" w:id="1414815416"/>
              </w:rPr>
              <w:t>人</w:t>
            </w:r>
          </w:p>
        </w:tc>
        <w:tc>
          <w:tcPr>
            <w:tcW w:w="1610" w:type="dxa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协办单位</w:t>
            </w:r>
          </w:p>
        </w:tc>
        <w:tc>
          <w:tcPr>
            <w:tcW w:w="3402" w:type="dxa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分管领导</w:t>
            </w:r>
          </w:p>
        </w:tc>
        <w:tc>
          <w:tcPr>
            <w:tcW w:w="1610" w:type="dxa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督查内容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签收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承办单位负责人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协办单位负责人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分管领导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2520" w:firstLineChars="900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签字：          年  月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督查过程管理</w:t>
            </w: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承办部门工作进展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签字：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督查记录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签字：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校领导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</w:tcPr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right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right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签字：          年  月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6771E"/>
    <w:multiLevelType w:val="singleLevel"/>
    <w:tmpl w:val="F826771E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D1ECE"/>
    <w:rsid w:val="00141219"/>
    <w:rsid w:val="00321C8D"/>
    <w:rsid w:val="0038735C"/>
    <w:rsid w:val="005B0058"/>
    <w:rsid w:val="0A4742EB"/>
    <w:rsid w:val="116442CD"/>
    <w:rsid w:val="15350A4F"/>
    <w:rsid w:val="168D2A18"/>
    <w:rsid w:val="1956650E"/>
    <w:rsid w:val="19797B40"/>
    <w:rsid w:val="210D02D1"/>
    <w:rsid w:val="266D1ECE"/>
    <w:rsid w:val="29D33D62"/>
    <w:rsid w:val="29ED19DF"/>
    <w:rsid w:val="2AF309CA"/>
    <w:rsid w:val="341F0C0A"/>
    <w:rsid w:val="35D8531A"/>
    <w:rsid w:val="3A936BBE"/>
    <w:rsid w:val="3FF21865"/>
    <w:rsid w:val="495A7BBD"/>
    <w:rsid w:val="4A541F0C"/>
    <w:rsid w:val="4A9417FB"/>
    <w:rsid w:val="4DA35F5F"/>
    <w:rsid w:val="574D3EDC"/>
    <w:rsid w:val="5E1E512B"/>
    <w:rsid w:val="6D586EE4"/>
    <w:rsid w:val="6E512201"/>
    <w:rsid w:val="6FC239D6"/>
    <w:rsid w:val="72DC712D"/>
    <w:rsid w:val="75AD01D9"/>
    <w:rsid w:val="7A9D7EA0"/>
    <w:rsid w:val="7FC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8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</Words>
  <Characters>1865</Characters>
  <Lines>15</Lines>
  <Paragraphs>4</Paragraphs>
  <TotalTime>4</TotalTime>
  <ScaleCrop>false</ScaleCrop>
  <LinksUpToDate>false</LinksUpToDate>
  <CharactersWithSpaces>2188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2021-04-02T07:27:00Z</dcterms:created>
  <dc:creator>黑色冰淇淋</dc:creator>
  <cp:lastModifiedBy>黑色冰淇淋</cp:lastModifiedBy>
  <dcterms:modified xsi:type="dcterms:W3CDTF">2021-04-02T09:49:44Z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0B49E34D062B4D879FC81CBE4BD3A59E</vt:lpwstr>
  </property>
  <property fmtid="{D5CDD505-2E9C-101B-9397-08002B2CF9AE}" pid="4" name="KSOSaveFontToCloudKey">
    <vt:lpwstr>437087334_btnclosed</vt:lpwstr>
  </property>
</Properties>
</file>